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yellow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15670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left"/>
        <w:textAlignment w:val="auto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Xiamen, China, October 09 – October 13, 2023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Batang"/>
          <w:b/>
          <w:highlight w:val="none"/>
          <w:lang w:val="en-US" w:eastAsia="zh-CN"/>
        </w:rPr>
        <w:t>4.31.3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  <w:bookmarkStart w:id="9" w:name="_GoBack"/>
      <w:bookmarkEnd w:id="9"/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OLE_LINK3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UE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RF requirements for the satellite L-/S-band</w:t>
      </w:r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RAN#98e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RP-223485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] on Introduction of the satellite L-/S-band was approved. Part of the objective is as follows:</w:t>
      </w:r>
    </w:p>
    <w:p>
      <w:pPr>
        <w:pStyle w:val="51"/>
      </w:pPr>
      <w:r>
        <w:t>-</w:t>
      </w:r>
      <w:r>
        <w:tab/>
      </w:r>
      <w:r>
        <w:t>Specify a new NTN FDD band with a UE transmitting at 1610-1626.5MHz and SAN transmitting at 2483.5-2500MHz;</w:t>
      </w:r>
    </w:p>
    <w:p>
      <w:pPr>
        <w:pStyle w:val="51"/>
      </w:pPr>
      <w:r>
        <w:t>-</w:t>
      </w:r>
      <w:r>
        <w:tab/>
      </w:r>
      <w:r>
        <w:t>Support channel bandwidths and SCS as presented in Table 4.1-1 below;</w:t>
      </w:r>
    </w:p>
    <w:p>
      <w:pPr>
        <w:pStyle w:val="51"/>
      </w:pPr>
      <w:r>
        <w:t>-</w:t>
      </w:r>
      <w:r>
        <w:tab/>
      </w:r>
      <w:bookmarkStart w:id="2" w:name="OLE_LINK1"/>
      <w:r>
        <w:t>Support channel raster points at step of 100kHz</w:t>
      </w:r>
      <w:bookmarkEnd w:id="2"/>
      <w:r>
        <w:t>;</w:t>
      </w:r>
    </w:p>
    <w:p>
      <w:pPr>
        <w:pStyle w:val="51"/>
      </w:pPr>
      <w:r>
        <w:tab/>
      </w:r>
      <w:r>
        <w:t>NOTE: Support for channel raster points at step of 5kHz can be considered later based on the outcome of the corresponding RAN WG4 for potential channel raster enhancements.</w:t>
      </w:r>
    </w:p>
    <w:p>
      <w:pPr>
        <w:pStyle w:val="51"/>
      </w:pPr>
      <w:r>
        <w:t>-</w:t>
      </w:r>
      <w:r>
        <w:tab/>
      </w:r>
      <w:r>
        <w:t xml:space="preserve">Support UE Power class 3 (+23dBm); </w:t>
      </w:r>
    </w:p>
    <w:p>
      <w:pPr>
        <w:pStyle w:val="51"/>
      </w:pPr>
      <w:r>
        <w:tab/>
      </w:r>
      <w:r>
        <w:t xml:space="preserve">NOTE: Work on UE Power class 2 can commence based on the RAN#99 decision. </w:t>
      </w:r>
    </w:p>
    <w:p>
      <w:pPr>
        <w:pStyle w:val="51"/>
      </w:pPr>
      <w:r>
        <w:t>-</w:t>
      </w:r>
      <w:r>
        <w:tab/>
      </w:r>
      <w:r>
        <w:t>Introduce the corresponding SAN and UE RF core requirements;</w:t>
      </w:r>
    </w:p>
    <w:p>
      <w:pPr>
        <w:pStyle w:val="51"/>
        <w:rPr>
          <w:bCs/>
        </w:rPr>
      </w:pPr>
      <w:r>
        <w:t>-</w:t>
      </w:r>
      <w:r>
        <w:tab/>
      </w:r>
      <w:r>
        <w:t>Introduce the corresponding RRM requirements.</w:t>
      </w:r>
      <w:r>
        <w:tab/>
      </w:r>
    </w:p>
    <w:p>
      <w:pPr>
        <w:pStyle w:val="46"/>
      </w:pPr>
      <w:r>
        <w:t xml:space="preserve">Table 4.1-1: Channel bandwidth and SCS system parameters. </w:t>
      </w:r>
    </w:p>
    <w:tbl>
      <w:tblPr>
        <w:tblStyle w:val="25"/>
        <w:tblW w:w="3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712"/>
        <w:gridCol w:w="705"/>
        <w:gridCol w:w="713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849" w:type="dxa"/>
            <w:shd w:val="clear" w:color="auto" w:fill="auto"/>
            <w:noWrap w:val="0"/>
            <w:vAlign w:val="center"/>
          </w:tcPr>
          <w:p>
            <w:pPr>
              <w:pStyle w:val="36"/>
            </w:pPr>
            <w:r>
              <w:t>SCS</w:t>
            </w:r>
            <w:r>
              <w:rPr>
                <w:rFonts w:hint="eastAsia" w:eastAsia="Yu Mincho"/>
                <w:lang w:eastAsia="zh-CN"/>
              </w:rPr>
              <w:t xml:space="preserve"> </w:t>
            </w:r>
            <w:r>
              <w:rPr>
                <w:rFonts w:eastAsia="Yu Mincho"/>
                <w:lang w:eastAsia="zh-CN"/>
              </w:rPr>
              <w:t>(</w:t>
            </w:r>
            <w:r>
              <w:t>kHz)</w:t>
            </w:r>
          </w:p>
        </w:tc>
        <w:tc>
          <w:tcPr>
            <w:tcW w:w="2839" w:type="dxa"/>
            <w:gridSpan w:val="4"/>
            <w:shd w:val="clear" w:color="auto" w:fill="auto"/>
            <w:noWrap w:val="0"/>
            <w:vAlign w:val="top"/>
          </w:tcPr>
          <w:p>
            <w:pPr>
              <w:pStyle w:val="36"/>
            </w:pPr>
            <w:r>
              <w:t xml:space="preserve">Channel bandwidth </w:t>
            </w:r>
          </w:p>
          <w:p>
            <w:pPr>
              <w:pStyle w:val="36"/>
            </w:pP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9" w:type="dxa"/>
            <w:shd w:val="clear" w:color="auto" w:fill="auto"/>
            <w:noWrap w:val="0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15</w:t>
            </w:r>
          </w:p>
        </w:tc>
        <w:tc>
          <w:tcPr>
            <w:tcW w:w="712" w:type="dxa"/>
            <w:shd w:val="clear" w:color="auto" w:fill="auto"/>
            <w:noWrap w:val="0"/>
            <w:vAlign w:val="top"/>
          </w:tcPr>
          <w:p>
            <w:pPr>
              <w:pStyle w:val="37"/>
              <w:rPr>
                <w:rFonts w:eastAsia="Yu Mincho"/>
              </w:rPr>
            </w:pPr>
            <w:r>
              <w:t>5</w:t>
            </w:r>
          </w:p>
        </w:tc>
        <w:tc>
          <w:tcPr>
            <w:tcW w:w="705" w:type="dxa"/>
            <w:shd w:val="clear" w:color="auto" w:fill="auto"/>
            <w:noWrap w:val="0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noWrap w:val="0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pStyle w:val="3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9" w:type="dxa"/>
            <w:shd w:val="clear" w:color="auto" w:fill="auto"/>
            <w:noWrap w:val="0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30</w:t>
            </w:r>
          </w:p>
        </w:tc>
        <w:tc>
          <w:tcPr>
            <w:tcW w:w="712" w:type="dxa"/>
            <w:shd w:val="clear" w:color="auto" w:fill="auto"/>
            <w:noWrap w:val="0"/>
            <w:vAlign w:val="top"/>
          </w:tcPr>
          <w:p>
            <w:pPr>
              <w:pStyle w:val="37"/>
              <w:rPr>
                <w:rFonts w:eastAsia="Yu Mincho"/>
              </w:rPr>
            </w:pPr>
          </w:p>
        </w:tc>
        <w:tc>
          <w:tcPr>
            <w:tcW w:w="705" w:type="dxa"/>
            <w:shd w:val="clear" w:color="auto" w:fill="auto"/>
            <w:noWrap w:val="0"/>
            <w:vAlign w:val="top"/>
          </w:tcPr>
          <w:p>
            <w:pPr>
              <w:pStyle w:val="37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noWrap w:val="0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pStyle w:val="3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9" w:type="dxa"/>
            <w:shd w:val="clear" w:color="auto" w:fill="auto"/>
            <w:noWrap w:val="0"/>
            <w:vAlign w:val="center"/>
          </w:tcPr>
          <w:p>
            <w:pPr>
              <w:pStyle w:val="37"/>
            </w:pPr>
            <w:r>
              <w:t>60</w:t>
            </w:r>
          </w:p>
        </w:tc>
        <w:tc>
          <w:tcPr>
            <w:tcW w:w="712" w:type="dxa"/>
            <w:shd w:val="clear" w:color="auto" w:fill="auto"/>
            <w:noWrap w:val="0"/>
            <w:vAlign w:val="top"/>
          </w:tcPr>
          <w:p>
            <w:pPr>
              <w:pStyle w:val="37"/>
              <w:rPr>
                <w:rFonts w:eastAsia="Yu Mincho"/>
              </w:rPr>
            </w:pPr>
          </w:p>
        </w:tc>
        <w:tc>
          <w:tcPr>
            <w:tcW w:w="705" w:type="dxa"/>
            <w:shd w:val="clear" w:color="auto" w:fill="auto"/>
            <w:noWrap w:val="0"/>
            <w:vAlign w:val="top"/>
          </w:tcPr>
          <w:p>
            <w:pPr>
              <w:pStyle w:val="37"/>
            </w:pPr>
            <w:r>
              <w:t>10</w:t>
            </w:r>
          </w:p>
        </w:tc>
        <w:tc>
          <w:tcPr>
            <w:tcW w:w="713" w:type="dxa"/>
            <w:shd w:val="clear" w:color="auto" w:fill="auto"/>
            <w:noWrap w:val="0"/>
            <w:vAlign w:val="center"/>
          </w:tcPr>
          <w:p>
            <w:pPr>
              <w:pStyle w:val="37"/>
            </w:pPr>
            <w:r>
              <w:t>15</w:t>
            </w:r>
          </w:p>
        </w:tc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pStyle w:val="37"/>
              <w:rPr>
                <w:rFonts w:eastAsia="Yu Mincho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 xml:space="preserve">In this contribution, we want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  <w:lang w:val="en-US"/>
        </w:rPr>
        <w:t xml:space="preserve">share some initial views on 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/>
        </w:rPr>
        <w:t xml:space="preserve"> RF requirements</w:t>
      </w:r>
      <w:r>
        <w:rPr>
          <w:rFonts w:hint="eastAsia"/>
          <w:lang w:val="en-US" w:eastAsia="zh-CN"/>
        </w:rPr>
        <w:t xml:space="preserve"> for Introduction of the satellite L-/S-band</w:t>
      </w:r>
      <w:r>
        <w:rPr>
          <w:rFonts w:hint="eastAsia"/>
          <w:lang w:val="en-US"/>
        </w:rPr>
        <w:t xml:space="preserve">. </w:t>
      </w:r>
    </w:p>
    <w:p>
      <w:pPr>
        <w:pStyle w:val="56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3" w:name="OLE_LINK14"/>
      <w:bookmarkStart w:id="4" w:name="OLE_LINK20"/>
      <w:bookmarkStart w:id="5" w:name="OLE_LINK13"/>
      <w:bookmarkStart w:id="6" w:name="OLE_LINK10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2.1 </w:t>
      </w:r>
      <w:r>
        <w:rPr>
          <w:rFonts w:hint="default" w:ascii="Arial" w:hAnsi="Arial" w:cs="Arial"/>
          <w:sz w:val="28"/>
          <w:szCs w:val="28"/>
          <w:lang w:val="en-US" w:eastAsia="zh-CN"/>
        </w:rPr>
        <w:t>Out-of-band blocking requirements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For the out-of-band blocking requirement of band n53, the relaxation has been introduced to accommodate the filter sharing between band n41 and n53 based on the Figure 2.1-1. Therefore, the note of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“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The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power level of the interferer (P</w:t>
      </w:r>
      <w:r>
        <w:rPr>
          <w:rFonts w:hint="default"/>
          <w:b w:val="0"/>
          <w:bCs w:val="0"/>
          <w:i w:val="0"/>
          <w:iCs w:val="0"/>
          <w:vertAlign w:val="subscript"/>
          <w:lang w:val="en-US" w:eastAsia="zh-CN"/>
        </w:rPr>
        <w:t>Interferer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) for Range 3 shall be modified to -20 dBm for F</w:t>
      </w:r>
      <w:r>
        <w:rPr>
          <w:rFonts w:hint="default"/>
          <w:b w:val="0"/>
          <w:bCs w:val="0"/>
          <w:i w:val="0"/>
          <w:iCs w:val="0"/>
          <w:vertAlign w:val="subscript"/>
          <w:lang w:val="en-US" w:eastAsia="zh-CN"/>
        </w:rPr>
        <w:t>Interferer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&gt; 2580 MHz and F</w:t>
      </w:r>
      <w:r>
        <w:rPr>
          <w:rFonts w:hint="default"/>
          <w:b w:val="0"/>
          <w:bCs w:val="0"/>
          <w:i w:val="0"/>
          <w:iCs w:val="0"/>
          <w:vertAlign w:val="subscript"/>
          <w:lang w:val="en-US" w:eastAsia="zh-CN"/>
        </w:rPr>
        <w:t>Interferer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&lt; 2775 MHz.”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was introduced for band n53.  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120130" cy="3490595"/>
            <wp:effectExtent l="0" t="0" r="635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90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center"/>
        <w:textAlignment w:val="auto"/>
        <w:rPr>
          <w:rFonts w:hint="default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Figure 2.1-1: Out-of-blocking requirement for band n41, n53 and n254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Similar principle also should be reused to band n254 base on the similar frequency range of band n53 and n254.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In other words, the filter sharing between band n41 and n254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should also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be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approve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d. Based on the Figure 2.1-1, the note of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“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power level of the interferer (P</w:t>
      </w:r>
      <w:r>
        <w:rPr>
          <w:rFonts w:hint="default"/>
          <w:b w:val="0"/>
          <w:bCs w:val="0"/>
          <w:i w:val="0"/>
          <w:iCs w:val="0"/>
          <w:vertAlign w:val="subscript"/>
          <w:lang w:val="en-US" w:eastAsia="zh-CN"/>
        </w:rPr>
        <w:t>interferer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) for Range 3 shall be modified to -20 dBm for F</w:t>
      </w:r>
      <w:r>
        <w:rPr>
          <w:rFonts w:hint="default"/>
          <w:b w:val="0"/>
          <w:bCs w:val="0"/>
          <w:i w:val="0"/>
          <w:iCs w:val="0"/>
          <w:vertAlign w:val="subscript"/>
          <w:lang w:val="en-US" w:eastAsia="zh-CN"/>
        </w:rPr>
        <w:t>interferer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&gt; 2585 MHz and F</w:t>
      </w:r>
      <w:r>
        <w:rPr>
          <w:rFonts w:hint="default"/>
          <w:b w:val="0"/>
          <w:bCs w:val="0"/>
          <w:i w:val="0"/>
          <w:iCs w:val="0"/>
          <w:vertAlign w:val="subscript"/>
          <w:lang w:val="en-US" w:eastAsia="zh-CN"/>
        </w:rPr>
        <w:t>Interferer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&lt; 2775 MHz.”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should also be introduced for band n254. Therefore, for band n254, the out-of-band blocking requirements can be specified in Table 2.1-1.</w:t>
      </w:r>
    </w:p>
    <w:p>
      <w:pPr>
        <w:pStyle w:val="46"/>
      </w:pPr>
      <w:r>
        <w:t xml:space="preserve">Table </w:t>
      </w:r>
      <w:r>
        <w:rPr>
          <w:rFonts w:hint="eastAsia"/>
          <w:lang w:val="en-US" w:eastAsia="zh-CN"/>
        </w:rPr>
        <w:t>2.1-1</w:t>
      </w:r>
      <w:r>
        <w:t>: Out of-band blocking for NR satellite bands with 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</w:p>
    <w:tbl>
      <w:tblPr>
        <w:tblStyle w:val="25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highlight w:val="yellow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Parameter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Unit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1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t>-44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t>-30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rFonts w:hint="default" w:eastAsia="宋体"/>
                <w:vertAlign w:val="superscrip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n254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 w:eastAsiaTheme="minorEastAsia"/>
                <w:lang w:val="en-US"/>
              </w:rPr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>
              <w:t>:</w:t>
            </w:r>
            <w:r>
              <w:tab/>
            </w:r>
            <w:r>
              <w:rPr>
                <w:rFonts w:eastAsia="MS Mincho"/>
                <w:lang w:val="en-US"/>
              </w:rPr>
              <w:t>Band n256 lower frequency ranges are modified to enable specific implementations</w:t>
            </w:r>
            <w:r>
              <w:rPr>
                <w:rFonts w:eastAsia="MS Mincho"/>
              </w:rPr>
              <w:t xml:space="preserve"> </w:t>
            </w:r>
          </w:p>
          <w:p>
            <w:pPr>
              <w:pStyle w:val="49"/>
              <w:rPr>
                <w:highlight w:val="yellow"/>
                <w:lang w:val="en-US"/>
              </w:rPr>
            </w:pPr>
            <w:r>
              <w:rPr>
                <w:highlight w:val="yellow"/>
              </w:rPr>
              <w:t>NOTE</w:t>
            </w:r>
            <w:r>
              <w:rPr>
                <w:rFonts w:hint="eastAsia"/>
                <w:highlight w:val="yellow"/>
                <w:lang w:val="en-US"/>
              </w:rPr>
              <w:t xml:space="preserve"> 2</w:t>
            </w:r>
            <w:r>
              <w:rPr>
                <w:highlight w:val="yellow"/>
              </w:rPr>
              <w:t>:</w:t>
            </w:r>
            <w:r>
              <w:rPr>
                <w:highlight w:val="yellow"/>
              </w:rPr>
              <w:tab/>
            </w:r>
            <w:bookmarkStart w:id="7" w:name="OLE_LINK2"/>
            <w:r>
              <w:rPr>
                <w:rFonts w:hint="eastAsia" w:eastAsia="宋体"/>
                <w:highlight w:val="yellow"/>
                <w:lang w:val="en-US" w:eastAsia="zh-CN"/>
              </w:rPr>
              <w:t>The</w:t>
            </w:r>
            <w:r>
              <w:rPr>
                <w:rFonts w:hint="eastAsia" w:eastAsia="MS Mincho"/>
                <w:highlight w:val="yellow"/>
              </w:rPr>
              <w:t xml:space="preserve"> power level of the interferer (Pinterferer) for Range 3 shall be modified to -20 dBm for Finterferer &gt; 2585 MHz and FInterferer &lt; 2775 MHz</w:t>
            </w:r>
            <w:bookmarkEnd w:id="7"/>
            <w:r>
              <w:rPr>
                <w:rFonts w:hint="eastAsia" w:eastAsia="MS Mincho"/>
                <w:highlight w:val="yellow"/>
              </w:rPr>
              <w:t>.</w:t>
            </w:r>
          </w:p>
          <w:p>
            <w:pPr>
              <w:pStyle w:val="49"/>
              <w:rPr>
                <w:lang w:val="sv-SE"/>
              </w:rPr>
            </w:pPr>
            <w:r>
              <w:t>NOTE</w:t>
            </w:r>
            <w:r>
              <w:rPr>
                <w:rFonts w:hint="eastAsia"/>
              </w:rPr>
              <w:t xml:space="preserve"> </w:t>
            </w:r>
            <w:r>
              <w:t>3: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>
            <w:pPr>
              <w:pStyle w:val="37"/>
              <w:jc w:val="left"/>
              <w:rPr>
                <w:rFonts w:cs="Arial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4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For the new NTN FDD band, the out-of-band blocking requirements can be specified in Table 2.1-1.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2.2 NS value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outlineLvl w:val="9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In RAN4 #108 meeting, an agreement was achieved for emission requirement based on the regulation of ETSI as follows: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rPr>
                <w:highlight w:val="green"/>
                <w:lang w:val="en-US" w:eastAsia="ja-JP"/>
              </w:rPr>
            </w:pPr>
            <w:r>
              <w:rPr>
                <w:highlight w:val="green"/>
                <w:lang w:val="en-US" w:eastAsia="ja-JP"/>
              </w:rPr>
              <w:t>Agreements for the UE RF requirements:</w:t>
            </w:r>
          </w:p>
          <w:p>
            <w:pPr>
              <w:pStyle w:val="51"/>
            </w:pPr>
            <w:r>
              <w:t>-</w:t>
            </w:r>
            <w:r>
              <w:tab/>
            </w:r>
            <w:r>
              <w:t>ETSI out-of-band emission requirements, as presented in the table below, are applied to band n254.</w:t>
            </w:r>
          </w:p>
          <w:tbl>
            <w:tblPr>
              <w:tblStyle w:val="25"/>
              <w:tblW w:w="7512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99"/>
              <w:gridCol w:w="2181"/>
              <w:gridCol w:w="1377"/>
              <w:gridCol w:w="215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75" w:hRule="atLeast"/>
                <w:jc w:val="center"/>
              </w:trPr>
              <w:tc>
                <w:tcPr>
                  <w:tcW w:w="1799" w:type="dxa"/>
                  <w:vMerge w:val="restart"/>
                </w:tcPr>
                <w:p>
                  <w:pPr>
                    <w:pStyle w:val="36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Frequency band</w:t>
                  </w:r>
                </w:p>
                <w:p>
                  <w:pPr>
                    <w:pStyle w:val="36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(MHz)</w:t>
                  </w:r>
                </w:p>
              </w:tc>
              <w:tc>
                <w:tcPr>
                  <w:tcW w:w="2181" w:type="dxa"/>
                </w:tcPr>
                <w:p>
                  <w:pPr>
                    <w:pStyle w:val="36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Channel bandwidth / Spectrum emission limit</w:t>
                  </w:r>
                  <w:r>
                    <w:rPr>
                      <w:rFonts w:cs="Arial"/>
                      <w:bCs/>
                      <w:vertAlign w:val="superscript"/>
                    </w:rPr>
                    <w:t>1</w:t>
                  </w:r>
                  <w:r>
                    <w:rPr>
                      <w:rFonts w:cs="Arial"/>
                      <w:bCs/>
                    </w:rPr>
                    <w:t xml:space="preserve"> (dB</w:t>
                  </w:r>
                  <w:r>
                    <w:rPr>
                      <w:rFonts w:cs="Arial"/>
                      <w:bCs/>
                      <w:lang w:val="en-US"/>
                    </w:rPr>
                    <w:t>m</w:t>
                  </w:r>
                  <w:r>
                    <w:rPr>
                      <w:rFonts w:cs="Arial"/>
                      <w:bCs/>
                    </w:rPr>
                    <w:t>)</w:t>
                  </w:r>
                </w:p>
              </w:tc>
              <w:tc>
                <w:tcPr>
                  <w:tcW w:w="1377" w:type="dxa"/>
                  <w:vMerge w:val="restart"/>
                </w:tcPr>
                <w:p>
                  <w:pPr>
                    <w:pStyle w:val="36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 xml:space="preserve">Measurement bandwidth </w:t>
                  </w:r>
                </w:p>
              </w:tc>
              <w:tc>
                <w:tcPr>
                  <w:tcW w:w="2155" w:type="dxa"/>
                  <w:vMerge w:val="restart"/>
                </w:tcPr>
                <w:p>
                  <w:pPr>
                    <w:pStyle w:val="36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NOTE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81" w:hRule="atLeast"/>
                <w:jc w:val="center"/>
              </w:trPr>
              <w:tc>
                <w:tcPr>
                  <w:tcW w:w="1799" w:type="dxa"/>
                  <w:vMerge w:val="continue"/>
                </w:tcPr>
                <w:p>
                  <w:pPr>
                    <w:pStyle w:val="36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2181" w:type="dxa"/>
                </w:tcPr>
                <w:p>
                  <w:pPr>
                    <w:pStyle w:val="36"/>
                    <w:rPr>
                      <w:rFonts w:cs="Arial"/>
                      <w:b w:val="0"/>
                      <w:lang w:val="en-US"/>
                    </w:rPr>
                  </w:pPr>
                  <w:r>
                    <w:rPr>
                      <w:rFonts w:cs="Arial"/>
                      <w:b w:val="0"/>
                    </w:rPr>
                    <w:t>5 MHz, 10</w:t>
                  </w:r>
                  <w:r>
                    <w:rPr>
                      <w:rFonts w:cs="Arial"/>
                      <w:b w:val="0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 w:val="0"/>
                    </w:rPr>
                    <w:t>MHz</w:t>
                  </w:r>
                  <w:r>
                    <w:rPr>
                      <w:rFonts w:cs="Arial"/>
                      <w:b w:val="0"/>
                      <w:lang w:val="en-US"/>
                    </w:rPr>
                    <w:t>, 15 MHz</w:t>
                  </w:r>
                </w:p>
              </w:tc>
              <w:tc>
                <w:tcPr>
                  <w:tcW w:w="1377" w:type="dxa"/>
                  <w:vMerge w:val="continue"/>
                </w:tcPr>
                <w:p>
                  <w:pPr>
                    <w:ind w:left="80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55" w:type="dxa"/>
                  <w:vMerge w:val="continue"/>
                  <w:tcBorders>
                    <w:bottom w:val="single" w:color="auto" w:sz="4" w:space="0"/>
                  </w:tcBorders>
                </w:tcPr>
                <w:p>
                  <w:pPr>
                    <w:ind w:left="80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99" w:type="dxa"/>
                </w:tcPr>
                <w:p>
                  <w:pPr>
                    <w:pStyle w:val="37"/>
                    <w:rPr>
                      <w:rFonts w:cs="Arial"/>
                      <w:szCs w:val="18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1</w:t>
                  </w:r>
                  <w:r>
                    <w:rPr>
                      <w:rFonts w:cs="Arial"/>
                      <w:szCs w:val="18"/>
                      <w:lang w:val="en-US"/>
                    </w:rPr>
                    <w:t>559</w:t>
                  </w:r>
                  <w:r>
                    <w:rPr>
                      <w:rFonts w:cs="Arial"/>
                      <w:szCs w:val="18"/>
                    </w:rPr>
                    <w:t xml:space="preserve"> ≤ f ≤ 160</w:t>
                  </w:r>
                  <w:r>
                    <w:rPr>
                      <w:rFonts w:cs="Arial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2181" w:type="dxa"/>
                </w:tcPr>
                <w:p>
                  <w:pPr>
                    <w:pStyle w:val="37"/>
                    <w:rPr>
                      <w:rFonts w:cs="Arial"/>
                      <w:szCs w:val="18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-40</w:t>
                  </w:r>
                </w:p>
              </w:tc>
              <w:tc>
                <w:tcPr>
                  <w:tcW w:w="1377" w:type="dxa"/>
                </w:tcPr>
                <w:p>
                  <w:pPr>
                    <w:pStyle w:val="37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1MHz</w:t>
                  </w:r>
                </w:p>
              </w:tc>
              <w:tc>
                <w:tcPr>
                  <w:tcW w:w="2155" w:type="dxa"/>
                  <w:vMerge w:val="restart"/>
                  <w:shd w:val="clear" w:color="auto" w:fill="auto"/>
                </w:tcPr>
                <w:p>
                  <w:pPr>
                    <w:pStyle w:val="37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Averaged over any 2 millisecond active transmission interval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99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160</w:t>
                  </w:r>
                  <w:r>
                    <w:rPr>
                      <w:rFonts w:cs="Arial"/>
                      <w:lang w:val="en-US"/>
                    </w:rPr>
                    <w:t xml:space="preserve">5 </w:t>
                  </w:r>
                  <w:r>
                    <w:rPr>
                      <w:rFonts w:cs="Arial"/>
                    </w:rPr>
                    <w:t>≤ f ≤ 1610</w:t>
                  </w:r>
                </w:p>
              </w:tc>
              <w:tc>
                <w:tcPr>
                  <w:tcW w:w="2181" w:type="dxa"/>
                </w:tcPr>
                <w:p>
                  <w:pPr>
                    <w:pStyle w:val="37"/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</w:rPr>
                    <w:t xml:space="preserve">-40 </w:t>
                  </w:r>
                  <w:r>
                    <w:rPr>
                      <w:rFonts w:cs="Arial"/>
                      <w:lang w:val="en-US"/>
                    </w:rPr>
                    <w:t>+ 60/5 (f-1605)</w:t>
                  </w:r>
                </w:p>
              </w:tc>
              <w:tc>
                <w:tcPr>
                  <w:tcW w:w="1377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1MHz</w:t>
                  </w:r>
                </w:p>
              </w:tc>
              <w:tc>
                <w:tcPr>
                  <w:tcW w:w="2155" w:type="dxa"/>
                  <w:vMerge w:val="continue"/>
                  <w:tcBorders>
                    <w:bottom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rPr>
                      <w:rFonts w:ascii="Times New Roman" w:hAnsi="Times New Roma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99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</w:p>
              </w:tc>
              <w:tc>
                <w:tcPr>
                  <w:tcW w:w="2181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</w:p>
              </w:tc>
              <w:tc>
                <w:tcPr>
                  <w:tcW w:w="1377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</w:p>
              </w:tc>
              <w:tc>
                <w:tcPr>
                  <w:tcW w:w="2155" w:type="dxa"/>
                  <w:tcBorders>
                    <w:top w:val="single" w:color="auto" w:sz="4" w:space="0"/>
                    <w:bottom w:val="nil"/>
                  </w:tcBorders>
                  <w:shd w:val="clear" w:color="auto" w:fill="auto"/>
                </w:tcPr>
                <w:p>
                  <w:pPr>
                    <w:pStyle w:val="37"/>
                    <w:rPr>
                      <w:rFonts w:ascii="Times New Roman" w:hAnsi="Times New Roma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99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1628.5 ≤ f ≤ 1631.5</w:t>
                  </w:r>
                </w:p>
              </w:tc>
              <w:tc>
                <w:tcPr>
                  <w:tcW w:w="2181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-30</w:t>
                  </w:r>
                </w:p>
              </w:tc>
              <w:tc>
                <w:tcPr>
                  <w:tcW w:w="1377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30kHz</w:t>
                  </w:r>
                </w:p>
              </w:tc>
              <w:tc>
                <w:tcPr>
                  <w:tcW w:w="215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>
                  <w:pPr>
                    <w:pStyle w:val="37"/>
                    <w:rPr>
                      <w:rFonts w:ascii="Times New Roman" w:hAnsi="Times New Roma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99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1631.5 ≤ f ≤ 1636.5</w:t>
                  </w:r>
                </w:p>
              </w:tc>
              <w:tc>
                <w:tcPr>
                  <w:tcW w:w="2181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-30</w:t>
                  </w:r>
                </w:p>
              </w:tc>
              <w:tc>
                <w:tcPr>
                  <w:tcW w:w="1377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100kHz</w:t>
                  </w:r>
                </w:p>
              </w:tc>
              <w:tc>
                <w:tcPr>
                  <w:tcW w:w="215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>
                  <w:pPr>
                    <w:pStyle w:val="37"/>
                    <w:rPr>
                      <w:rFonts w:ascii="Times New Roman" w:hAnsi="Times New Roma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99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1636.5 ≤ f ≤ 1646.5</w:t>
                  </w:r>
                </w:p>
              </w:tc>
              <w:tc>
                <w:tcPr>
                  <w:tcW w:w="2181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-30</w:t>
                  </w:r>
                </w:p>
              </w:tc>
              <w:tc>
                <w:tcPr>
                  <w:tcW w:w="1377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300kHz</w:t>
                  </w:r>
                </w:p>
              </w:tc>
              <w:tc>
                <w:tcPr>
                  <w:tcW w:w="215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>
                  <w:pPr>
                    <w:pStyle w:val="37"/>
                    <w:rPr>
                      <w:rFonts w:ascii="Times New Roman" w:hAnsi="Times New Roma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99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1646.5 ≤ f ≤ 1666.5</w:t>
                  </w:r>
                </w:p>
              </w:tc>
              <w:tc>
                <w:tcPr>
                  <w:tcW w:w="2181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-30</w:t>
                  </w:r>
                </w:p>
              </w:tc>
              <w:tc>
                <w:tcPr>
                  <w:tcW w:w="1377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1MHz</w:t>
                  </w:r>
                </w:p>
              </w:tc>
              <w:tc>
                <w:tcPr>
                  <w:tcW w:w="215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>
                  <w:pPr>
                    <w:pStyle w:val="37"/>
                    <w:rPr>
                      <w:rFonts w:ascii="Times New Roman" w:hAnsi="Times New Roma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99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1666.5 ≤ f ≤ 2200</w:t>
                  </w:r>
                </w:p>
              </w:tc>
              <w:tc>
                <w:tcPr>
                  <w:tcW w:w="2181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-30</w:t>
                  </w:r>
                </w:p>
              </w:tc>
              <w:tc>
                <w:tcPr>
                  <w:tcW w:w="1377" w:type="dxa"/>
                </w:tcPr>
                <w:p>
                  <w:pPr>
                    <w:pStyle w:val="37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3MHz</w:t>
                  </w:r>
                </w:p>
              </w:tc>
              <w:tc>
                <w:tcPr>
                  <w:tcW w:w="215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>
                  <w:pPr>
                    <w:pStyle w:val="37"/>
                    <w:rPr>
                      <w:rFonts w:ascii="Times New Roman" w:hAnsi="Times New Roma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512" w:type="dxa"/>
                  <w:gridSpan w:val="4"/>
                </w:tcPr>
                <w:p>
                  <w:pPr>
                    <w:pStyle w:val="49"/>
                    <w:rPr>
                      <w:rFonts w:ascii="Times New Roman" w:hAnsi="Times New Roman"/>
                    </w:rPr>
                  </w:pPr>
                  <w:r>
                    <w:rPr>
                      <w:rFonts w:cs="Arial"/>
                    </w:rPr>
                    <w:t>NOTE:</w:t>
                  </w:r>
                  <w:r>
                    <w:tab/>
                  </w:r>
                  <w:r>
                    <w:t>The EIRP requirement in regulation is converted to conducted requirement using a 0dBi antenna.</w:t>
                  </w:r>
                </w:p>
              </w:tc>
            </w:tr>
          </w:tbl>
          <w:p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20"/>
              <w:ind w:left="567" w:hanging="283"/>
              <w:textAlignment w:val="auto"/>
            </w:pPr>
            <w:r>
              <w:t>-</w:t>
            </w:r>
            <w:r>
              <w:tab/>
            </w:r>
            <w:r>
              <w:t>ETSI in-band emission requirements, as presented in the table below, are applied to band n254.</w:t>
            </w:r>
          </w:p>
          <w:p>
            <w:pPr>
              <w:pStyle w:val="4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0"/>
              <w:textAlignment w:val="baseline"/>
            </w:pPr>
            <w:r>
              <w:t>Additional in-band emission requirements for 1610-1618.25MHz.</w:t>
            </w:r>
          </w:p>
          <w:tbl>
            <w:tblPr>
              <w:tblStyle w:val="2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07"/>
              <w:gridCol w:w="4814"/>
              <w:gridCol w:w="240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8" w:hRule="atLeast"/>
              </w:trPr>
              <w:tc>
                <w:tcPr>
                  <w:tcW w:w="2407" w:type="dxa"/>
                  <w:vAlign w:val="center"/>
                </w:tcPr>
                <w:p>
                  <w:pPr>
                    <w:pStyle w:val="36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Δ</w:t>
                  </w:r>
                  <w:r>
                    <w:rPr>
                      <w:rFonts w:eastAsia="Yu Mincho"/>
                    </w:rPr>
                    <w:t>f</w:t>
                  </w:r>
                  <w:r>
                    <w:rPr>
                      <w:rFonts w:eastAsia="Yu Mincho"/>
                      <w:vertAlign w:val="subscript"/>
                    </w:rPr>
                    <w:t xml:space="preserve">OOB </w:t>
                  </w:r>
                  <w:r>
                    <w:rPr>
                      <w:rFonts w:eastAsia="Yu Mincho"/>
                    </w:rPr>
                    <w:t>(kHz)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6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Spectrum emission limit (dBm)</w:t>
                  </w:r>
                </w:p>
              </w:tc>
              <w:tc>
                <w:tcPr>
                  <w:tcW w:w="2408" w:type="dxa"/>
                  <w:vAlign w:val="center"/>
                </w:tcPr>
                <w:p>
                  <w:pPr>
                    <w:pStyle w:val="36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Measurement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0-160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-2</w:t>
                  </w:r>
                </w:p>
              </w:tc>
              <w:tc>
                <w:tcPr>
                  <w:tcW w:w="2408" w:type="dxa"/>
                  <w:vMerge w:val="restart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30kHz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160-2300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-2 to -26</w:t>
                  </w:r>
                </w:p>
              </w:tc>
              <w:tc>
                <w:tcPr>
                  <w:tcW w:w="2408" w:type="dxa"/>
                  <w:vMerge w:val="continue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2300-18500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-26</w:t>
                  </w:r>
                </w:p>
              </w:tc>
              <w:tc>
                <w:tcPr>
                  <w:tcW w:w="2408" w:type="dxa"/>
                  <w:vMerge w:val="continue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29" w:type="dxa"/>
                  <w:gridSpan w:val="3"/>
                  <w:vAlign w:val="center"/>
                </w:tcPr>
                <w:p>
                  <w:pPr>
                    <w:pStyle w:val="42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NOTE:</w:t>
                  </w:r>
                  <w:r>
                    <w:rPr>
                      <w:rFonts w:eastAsia="Yu Mincho"/>
                    </w:rPr>
                    <w:tab/>
                  </w:r>
                  <w:r>
                    <w:rPr>
                      <w:rFonts w:eastAsia="Yu Mincho"/>
                    </w:rPr>
                    <w:t>Spectrum emissions from -2 to -</w:t>
                  </w:r>
                  <w:r>
                    <w:rPr>
                      <w:rFonts w:eastAsia="Yu Mincho"/>
                      <w:lang w:val="en-US"/>
                    </w:rPr>
                    <w:t>2</w:t>
                  </w:r>
                  <w:r>
                    <w:rPr>
                      <w:rFonts w:eastAsia="Yu Mincho"/>
                    </w:rPr>
                    <w:t>6dBm are linearly interpolated in dBm versus frequency offset.</w:t>
                  </w:r>
                </w:p>
              </w:tc>
            </w:tr>
          </w:tbl>
          <w:p>
            <w:pPr>
              <w:pStyle w:val="46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0"/>
              <w:textAlignment w:val="baseline"/>
            </w:pPr>
            <w:r>
              <w:t>Additional in-band emission requirements for 1618.25-1626.5MHz.</w:t>
            </w:r>
          </w:p>
          <w:tbl>
            <w:tblPr>
              <w:tblStyle w:val="2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07"/>
              <w:gridCol w:w="4814"/>
              <w:gridCol w:w="240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8" w:hRule="atLeast"/>
              </w:trPr>
              <w:tc>
                <w:tcPr>
                  <w:tcW w:w="2407" w:type="dxa"/>
                  <w:vAlign w:val="center"/>
                </w:tcPr>
                <w:p>
                  <w:pPr>
                    <w:pStyle w:val="36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Δ</w:t>
                  </w:r>
                  <w:r>
                    <w:rPr>
                      <w:rFonts w:eastAsia="Yu Mincho"/>
                    </w:rPr>
                    <w:t>f</w:t>
                  </w:r>
                  <w:r>
                    <w:rPr>
                      <w:rFonts w:eastAsia="Yu Mincho"/>
                      <w:vertAlign w:val="subscript"/>
                    </w:rPr>
                    <w:t xml:space="preserve">OOB </w:t>
                  </w:r>
                  <w:r>
                    <w:rPr>
                      <w:rFonts w:eastAsia="Yu Mincho"/>
                    </w:rPr>
                    <w:t>(kHz)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6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Spectrum emission limit (dBm)</w:t>
                  </w:r>
                </w:p>
              </w:tc>
              <w:tc>
                <w:tcPr>
                  <w:tcW w:w="2408" w:type="dxa"/>
                  <w:vAlign w:val="center"/>
                </w:tcPr>
                <w:p>
                  <w:pPr>
                    <w:pStyle w:val="36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Measurement bandwidth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0-160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-5</w:t>
                  </w:r>
                </w:p>
              </w:tc>
              <w:tc>
                <w:tcPr>
                  <w:tcW w:w="2408" w:type="dxa"/>
                  <w:vMerge w:val="restart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30kHz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160-225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-5 to -8.5</w:t>
                  </w:r>
                </w:p>
              </w:tc>
              <w:tc>
                <w:tcPr>
                  <w:tcW w:w="2408" w:type="dxa"/>
                  <w:vMerge w:val="continue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225-650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-8.5 to -15</w:t>
                  </w:r>
                </w:p>
              </w:tc>
              <w:tc>
                <w:tcPr>
                  <w:tcW w:w="2408" w:type="dxa"/>
                  <w:vMerge w:val="continue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650-1365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-15</w:t>
                  </w:r>
                </w:p>
              </w:tc>
              <w:tc>
                <w:tcPr>
                  <w:tcW w:w="2408" w:type="dxa"/>
                  <w:vMerge w:val="continue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1365-1800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-23 to -26</w:t>
                  </w:r>
                </w:p>
              </w:tc>
              <w:tc>
                <w:tcPr>
                  <w:tcW w:w="2408" w:type="dxa"/>
                  <w:vMerge w:val="continue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07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hint="eastAsia" w:eastAsia="Yu Mincho"/>
                    </w:rPr>
                    <w:t>±</w:t>
                  </w:r>
                  <w:r>
                    <w:rPr>
                      <w:rFonts w:eastAsia="Yu Mincho"/>
                    </w:rPr>
                    <w:t xml:space="preserve"> 1800-16500</w:t>
                  </w:r>
                </w:p>
              </w:tc>
              <w:tc>
                <w:tcPr>
                  <w:tcW w:w="4814" w:type="dxa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-26</w:t>
                  </w:r>
                </w:p>
              </w:tc>
              <w:tc>
                <w:tcPr>
                  <w:tcW w:w="2408" w:type="dxa"/>
                  <w:vMerge w:val="continue"/>
                  <w:vAlign w:val="center"/>
                </w:tcPr>
                <w:p>
                  <w:pPr>
                    <w:pStyle w:val="37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29" w:type="dxa"/>
                  <w:gridSpan w:val="3"/>
                  <w:vAlign w:val="center"/>
                </w:tcPr>
                <w:p>
                  <w:pPr>
                    <w:pStyle w:val="42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NOTE:</w:t>
                  </w:r>
                  <w:r>
                    <w:rPr>
                      <w:rFonts w:eastAsia="Yu Mincho"/>
                    </w:rPr>
                    <w:tab/>
                  </w:r>
                  <w:r>
                    <w:rPr>
                      <w:rFonts w:eastAsia="Yu Mincho"/>
                    </w:rPr>
                    <w:t>Spectrum emissions from -</w:t>
                  </w:r>
                  <w:r>
                    <w:rPr>
                      <w:rFonts w:eastAsia="Yu Mincho"/>
                      <w:lang w:val="en-US"/>
                    </w:rPr>
                    <w:t>2</w:t>
                  </w:r>
                  <w:r>
                    <w:rPr>
                      <w:rFonts w:eastAsia="Yu Mincho"/>
                    </w:rPr>
                    <w:t xml:space="preserve"> to -</w:t>
                  </w:r>
                  <w:r>
                    <w:rPr>
                      <w:rFonts w:eastAsia="Yu Mincho"/>
                      <w:lang w:val="en-US"/>
                    </w:rPr>
                    <w:t>2</w:t>
                  </w:r>
                  <w:r>
                    <w:rPr>
                      <w:rFonts w:eastAsia="Yu Mincho"/>
                    </w:rPr>
                    <w:t>6dBm are linearly interpolated in dBm versus frequency offset.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both"/>
              <w:textAlignment w:val="auto"/>
              <w:outlineLvl w:val="9"/>
              <w:rPr>
                <w:rFonts w:hint="default"/>
                <w:b w:val="0"/>
                <w:bCs w:val="0"/>
                <w:i w:val="0"/>
                <w:iCs w:val="0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outlineLvl w:val="9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However, the NS value for ETSI regulations are FFS. Based on the analysis of [2], the introduction of two NS values used to differentiate 2 sub-range in-band emission is reasonable. Specifically, the applicable sub-range and channel bandwidth of NS_04N are 1610-1618.25 MHz and 5 MHz channel bandwidth. The applicable sub-range and channel bandwidth of NS_05N are 1618.25-1626.5 MHz and 5, 10 and 15 MHz in which part channel bandwidth of 10 and 15 MHz will fall into the range of 1610-1626.5 MHz.</w:t>
      </w:r>
    </w:p>
    <w:p>
      <w:pPr>
        <w:pStyle w:val="46"/>
      </w:pPr>
      <w:r>
        <w:t>Table 2.2-1: NS values</w:t>
      </w:r>
      <w:r>
        <w:rPr>
          <w:rFonts w:hint="eastAsia"/>
          <w:lang w:val="en-US" w:eastAsia="zh-CN"/>
        </w:rPr>
        <w:t xml:space="preserve"> for ETSI regulation</w:t>
      </w:r>
    </w:p>
    <w:tbl>
      <w:tblPr>
        <w:tblStyle w:val="26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157"/>
        <w:gridCol w:w="1667"/>
        <w:gridCol w:w="1876"/>
        <w:gridCol w:w="217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>
            <w:pPr>
              <w:pStyle w:val="36"/>
            </w:pPr>
            <w:r>
              <w:t>NS value</w:t>
            </w:r>
          </w:p>
        </w:tc>
        <w:tc>
          <w:tcPr>
            <w:tcW w:w="1157" w:type="dxa"/>
          </w:tcPr>
          <w:p>
            <w:pPr>
              <w:pStyle w:val="36"/>
            </w:pPr>
            <w:r>
              <w:t>Regulatory domain</w:t>
            </w:r>
          </w:p>
        </w:tc>
        <w:tc>
          <w:tcPr>
            <w:tcW w:w="1667" w:type="dxa"/>
          </w:tcPr>
          <w:p>
            <w:pPr>
              <w:pStyle w:val="36"/>
            </w:pPr>
            <w:r>
              <w:t>Applicable range (MHz)</w:t>
            </w:r>
          </w:p>
        </w:tc>
        <w:tc>
          <w:tcPr>
            <w:tcW w:w="1876" w:type="dxa"/>
          </w:tcPr>
          <w:p>
            <w:pPr>
              <w:pStyle w:val="36"/>
            </w:pPr>
            <w:r>
              <w:t>Applicable channel (MHz)</w:t>
            </w:r>
          </w:p>
        </w:tc>
        <w:tc>
          <w:tcPr>
            <w:tcW w:w="2178" w:type="dxa"/>
          </w:tcPr>
          <w:p>
            <w:pPr>
              <w:pStyle w:val="36"/>
            </w:pPr>
            <w:r>
              <w:t>In-band emissions</w:t>
            </w:r>
          </w:p>
        </w:tc>
        <w:tc>
          <w:tcPr>
            <w:tcW w:w="2126" w:type="dxa"/>
          </w:tcPr>
          <w:p>
            <w:pPr>
              <w:pStyle w:val="36"/>
            </w:pPr>
            <w:r>
              <w:t>Out-of-band emissions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</w:tcPr>
          <w:p>
            <w:pPr>
              <w:pStyle w:val="37"/>
            </w:pPr>
            <w:r>
              <w:t>NS_0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N</w:t>
            </w:r>
          </w:p>
        </w:tc>
        <w:tc>
          <w:tcPr>
            <w:tcW w:w="1157" w:type="dxa"/>
            <w:vMerge w:val="restart"/>
          </w:tcPr>
          <w:p>
            <w:pPr>
              <w:pStyle w:val="37"/>
            </w:pPr>
            <w:r>
              <w:t>ETSI</w:t>
            </w:r>
          </w:p>
        </w:tc>
        <w:tc>
          <w:tcPr>
            <w:tcW w:w="1667" w:type="dxa"/>
          </w:tcPr>
          <w:p>
            <w:pPr>
              <w:pStyle w:val="37"/>
            </w:pPr>
            <w:r>
              <w:t>1610-1618.25</w:t>
            </w:r>
          </w:p>
        </w:tc>
        <w:tc>
          <w:tcPr>
            <w:tcW w:w="1876" w:type="dxa"/>
          </w:tcPr>
          <w:p>
            <w:pPr>
              <w:pStyle w:val="37"/>
            </w:pPr>
            <w:r>
              <w:t>5</w:t>
            </w:r>
          </w:p>
        </w:tc>
        <w:tc>
          <w:tcPr>
            <w:tcW w:w="2178" w:type="dxa"/>
          </w:tcPr>
          <w:p>
            <w:pPr>
              <w:pStyle w:val="37"/>
            </w:pPr>
            <w:r>
              <w:t>ETSI (1610-1618.25)</w:t>
            </w:r>
          </w:p>
        </w:tc>
        <w:tc>
          <w:tcPr>
            <w:tcW w:w="2126" w:type="dxa"/>
            <w:vMerge w:val="restart"/>
          </w:tcPr>
          <w:p>
            <w:pPr>
              <w:pStyle w:val="37"/>
            </w:pPr>
            <w:r>
              <w:t>ETSI (1559-1610MHz)</w:t>
            </w:r>
          </w:p>
          <w:p>
            <w:pPr>
              <w:pStyle w:val="37"/>
            </w:pPr>
            <w:r>
              <w:t>ETSI (&gt;1628.5MHz)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  <w:vMerge w:val="restart"/>
          </w:tcPr>
          <w:p>
            <w:pPr>
              <w:pStyle w:val="37"/>
            </w:pPr>
            <w:r>
              <w:t>NS_0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N</w:t>
            </w:r>
          </w:p>
        </w:tc>
        <w:tc>
          <w:tcPr>
            <w:tcW w:w="1157" w:type="dxa"/>
            <w:vMerge w:val="continue"/>
          </w:tcPr>
          <w:p>
            <w:pPr>
              <w:pStyle w:val="37"/>
            </w:pPr>
          </w:p>
        </w:tc>
        <w:tc>
          <w:tcPr>
            <w:tcW w:w="1667" w:type="dxa"/>
          </w:tcPr>
          <w:p>
            <w:pPr>
              <w:pStyle w:val="37"/>
            </w:pPr>
            <w:r>
              <w:t>1618.25-1626.5</w:t>
            </w:r>
          </w:p>
        </w:tc>
        <w:tc>
          <w:tcPr>
            <w:tcW w:w="1876" w:type="dxa"/>
          </w:tcPr>
          <w:p>
            <w:pPr>
              <w:pStyle w:val="37"/>
            </w:pPr>
            <w:r>
              <w:t>5</w:t>
            </w:r>
          </w:p>
        </w:tc>
        <w:tc>
          <w:tcPr>
            <w:tcW w:w="2178" w:type="dxa"/>
            <w:vMerge w:val="restart"/>
          </w:tcPr>
          <w:p>
            <w:pPr>
              <w:pStyle w:val="37"/>
            </w:pPr>
            <w:r>
              <w:t>ETSI (1618.25-1626.5)</w:t>
            </w:r>
          </w:p>
        </w:tc>
        <w:tc>
          <w:tcPr>
            <w:tcW w:w="2126" w:type="dxa"/>
            <w:vMerge w:val="continue"/>
          </w:tcPr>
          <w:p>
            <w:pPr>
              <w:pStyle w:val="3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  <w:vMerge w:val="continue"/>
          </w:tcPr>
          <w:p>
            <w:pPr>
              <w:pStyle w:val="37"/>
            </w:pPr>
          </w:p>
        </w:tc>
        <w:tc>
          <w:tcPr>
            <w:tcW w:w="1157" w:type="dxa"/>
            <w:vMerge w:val="continue"/>
          </w:tcPr>
          <w:p>
            <w:pPr>
              <w:pStyle w:val="37"/>
            </w:pPr>
          </w:p>
        </w:tc>
        <w:tc>
          <w:tcPr>
            <w:tcW w:w="1667" w:type="dxa"/>
          </w:tcPr>
          <w:p>
            <w:pPr>
              <w:pStyle w:val="37"/>
            </w:pPr>
            <w:r>
              <w:t>1610-1626.5</w:t>
            </w:r>
          </w:p>
        </w:tc>
        <w:tc>
          <w:tcPr>
            <w:tcW w:w="1876" w:type="dxa"/>
          </w:tcPr>
          <w:p>
            <w:pPr>
              <w:pStyle w:val="37"/>
            </w:pPr>
            <w:r>
              <w:t>10, 15</w:t>
            </w:r>
          </w:p>
        </w:tc>
        <w:tc>
          <w:tcPr>
            <w:tcW w:w="2178" w:type="dxa"/>
            <w:vMerge w:val="continue"/>
          </w:tcPr>
          <w:p>
            <w:pPr>
              <w:pStyle w:val="37"/>
            </w:pPr>
          </w:p>
        </w:tc>
        <w:tc>
          <w:tcPr>
            <w:tcW w:w="2126" w:type="dxa"/>
            <w:vMerge w:val="continue"/>
          </w:tcPr>
          <w:p>
            <w:pPr>
              <w:pStyle w:val="37"/>
            </w:pP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outlineLvl w:val="9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Two NS values should be introduced to support ETSI regulations for the NTN L-/S-band as shown in Table 2.2-1.</w:t>
      </w:r>
    </w:p>
    <w:bookmarkEnd w:id="3"/>
    <w:bookmarkEnd w:id="4"/>
    <w:bookmarkEnd w:id="5"/>
    <w:bookmarkEnd w:id="6"/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/>
        </w:rPr>
        <w:t xml:space="preserve">on 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/>
        </w:rPr>
        <w:t xml:space="preserve"> RF requirements for Introduction of the satellite L-/S-band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Some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For the new NTN FDD band, the out-of-band blocking requirements can be specified in Table 2.1-1.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outlineLvl w:val="9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Two NS values should be introduced to support ETSI regulations for the NTN L-/S-band as shown in Table 2.2-1.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4"/>
        <w:numPr>
          <w:ilvl w:val="0"/>
          <w:numId w:val="2"/>
        </w:num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RP-223485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cs="Times New Roman"/>
          <w:sz w:val="20"/>
          <w:szCs w:val="20"/>
          <w:highlight w:val="none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 xml:space="preserve">New WID on Introduction of the satellite L-/S-ban”, </w:t>
      </w:r>
      <w:bookmarkStart w:id="8" w:name="OLE_LINK4"/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Globalstar, Apple</w:t>
      </w:r>
      <w:bookmarkEnd w:id="8"/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.</w:t>
      </w:r>
    </w:p>
    <w:p>
      <w:pPr>
        <w:pStyle w:val="54"/>
        <w:numPr>
          <w:ilvl w:val="0"/>
          <w:numId w:val="2"/>
        </w:num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R4-2311216, </w:t>
      </w:r>
      <w:r>
        <w:rPr>
          <w:rFonts w:hint="default" w:cs="Times New Roman"/>
          <w:sz w:val="20"/>
          <w:szCs w:val="20"/>
          <w:highlight w:val="none"/>
          <w:lang w:val="en-US" w:eastAsia="zh-CN"/>
        </w:rPr>
        <w:t>“RF requirements for the NTN L-/S-band”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Apple, Globalstar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1D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667E9"/>
    <w:rsid w:val="027035EC"/>
    <w:rsid w:val="0280035E"/>
    <w:rsid w:val="028742F5"/>
    <w:rsid w:val="028748E0"/>
    <w:rsid w:val="02892A7A"/>
    <w:rsid w:val="02927A98"/>
    <w:rsid w:val="029342BD"/>
    <w:rsid w:val="029D3139"/>
    <w:rsid w:val="02A707C9"/>
    <w:rsid w:val="02AF683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D44BC"/>
    <w:rsid w:val="033F52A3"/>
    <w:rsid w:val="033F7E0C"/>
    <w:rsid w:val="03402EB3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7252C8"/>
    <w:rsid w:val="03774924"/>
    <w:rsid w:val="03822F79"/>
    <w:rsid w:val="0395764C"/>
    <w:rsid w:val="03974352"/>
    <w:rsid w:val="039B69FD"/>
    <w:rsid w:val="03A32E58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E608D7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46F09"/>
    <w:rsid w:val="0545651B"/>
    <w:rsid w:val="05583DC1"/>
    <w:rsid w:val="055A77BF"/>
    <w:rsid w:val="055B30DC"/>
    <w:rsid w:val="055C5DB2"/>
    <w:rsid w:val="05687505"/>
    <w:rsid w:val="05734531"/>
    <w:rsid w:val="05784E56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836A6"/>
    <w:rsid w:val="060C5B07"/>
    <w:rsid w:val="060D249E"/>
    <w:rsid w:val="06111076"/>
    <w:rsid w:val="061E2511"/>
    <w:rsid w:val="062D742E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2049"/>
    <w:rsid w:val="07277193"/>
    <w:rsid w:val="072B7E46"/>
    <w:rsid w:val="072F2139"/>
    <w:rsid w:val="07350A48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A2728D"/>
    <w:rsid w:val="07A80D41"/>
    <w:rsid w:val="07AA3E51"/>
    <w:rsid w:val="07BE51B2"/>
    <w:rsid w:val="07C5157D"/>
    <w:rsid w:val="07CE4437"/>
    <w:rsid w:val="07CF27B4"/>
    <w:rsid w:val="07D835FB"/>
    <w:rsid w:val="07DD018B"/>
    <w:rsid w:val="07E014BE"/>
    <w:rsid w:val="07E04AA8"/>
    <w:rsid w:val="07E85751"/>
    <w:rsid w:val="07ED5339"/>
    <w:rsid w:val="07F70AC8"/>
    <w:rsid w:val="07F97CF9"/>
    <w:rsid w:val="0800676F"/>
    <w:rsid w:val="080F4BCD"/>
    <w:rsid w:val="08166652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55C19"/>
    <w:rsid w:val="08B93018"/>
    <w:rsid w:val="08B94847"/>
    <w:rsid w:val="08BC3B5F"/>
    <w:rsid w:val="08C14001"/>
    <w:rsid w:val="08CF2EF9"/>
    <w:rsid w:val="08D836B6"/>
    <w:rsid w:val="08E0451F"/>
    <w:rsid w:val="08F10FA0"/>
    <w:rsid w:val="08F5200D"/>
    <w:rsid w:val="08F911CC"/>
    <w:rsid w:val="09016732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EE4213"/>
    <w:rsid w:val="09F1407D"/>
    <w:rsid w:val="09F21427"/>
    <w:rsid w:val="0A093274"/>
    <w:rsid w:val="0A145E2C"/>
    <w:rsid w:val="0A223227"/>
    <w:rsid w:val="0A22459E"/>
    <w:rsid w:val="0A2705E1"/>
    <w:rsid w:val="0A2A6A0B"/>
    <w:rsid w:val="0A2D3A24"/>
    <w:rsid w:val="0A312533"/>
    <w:rsid w:val="0A335E1D"/>
    <w:rsid w:val="0A3A0D5D"/>
    <w:rsid w:val="0A475F1B"/>
    <w:rsid w:val="0A5056C6"/>
    <w:rsid w:val="0A5060D6"/>
    <w:rsid w:val="0A544B53"/>
    <w:rsid w:val="0A5F4C2E"/>
    <w:rsid w:val="0A6B69C2"/>
    <w:rsid w:val="0A7200B0"/>
    <w:rsid w:val="0A722168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A4C65"/>
    <w:rsid w:val="0B2B1908"/>
    <w:rsid w:val="0B2D66EE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80161"/>
    <w:rsid w:val="0BE96AA5"/>
    <w:rsid w:val="0BEC55E4"/>
    <w:rsid w:val="0BEF5C37"/>
    <w:rsid w:val="0BF427F9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505A52"/>
    <w:rsid w:val="0C52301A"/>
    <w:rsid w:val="0C573449"/>
    <w:rsid w:val="0C576E02"/>
    <w:rsid w:val="0C6038EF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E245F1"/>
    <w:rsid w:val="0CE4001E"/>
    <w:rsid w:val="0CF5634C"/>
    <w:rsid w:val="0D0148C7"/>
    <w:rsid w:val="0D0213CD"/>
    <w:rsid w:val="0D04575D"/>
    <w:rsid w:val="0D0612B8"/>
    <w:rsid w:val="0D066A9C"/>
    <w:rsid w:val="0D0714BC"/>
    <w:rsid w:val="0D135280"/>
    <w:rsid w:val="0D136EF9"/>
    <w:rsid w:val="0D1A52C8"/>
    <w:rsid w:val="0D1C1D16"/>
    <w:rsid w:val="0D21615D"/>
    <w:rsid w:val="0D2454BF"/>
    <w:rsid w:val="0D2767B5"/>
    <w:rsid w:val="0D3E327E"/>
    <w:rsid w:val="0D3E73C8"/>
    <w:rsid w:val="0D3F4797"/>
    <w:rsid w:val="0D432A3E"/>
    <w:rsid w:val="0D480AA9"/>
    <w:rsid w:val="0D5800C7"/>
    <w:rsid w:val="0D5B6E86"/>
    <w:rsid w:val="0D604B9B"/>
    <w:rsid w:val="0D63712E"/>
    <w:rsid w:val="0D6A353C"/>
    <w:rsid w:val="0D813BDF"/>
    <w:rsid w:val="0D826C81"/>
    <w:rsid w:val="0D904522"/>
    <w:rsid w:val="0D976014"/>
    <w:rsid w:val="0D9D7A3A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557B06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FA45D2"/>
    <w:rsid w:val="11024527"/>
    <w:rsid w:val="110A4489"/>
    <w:rsid w:val="11150F62"/>
    <w:rsid w:val="111A28E5"/>
    <w:rsid w:val="112F54D2"/>
    <w:rsid w:val="113079D9"/>
    <w:rsid w:val="11314537"/>
    <w:rsid w:val="11315AA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B1745"/>
    <w:rsid w:val="155C27D0"/>
    <w:rsid w:val="155F651D"/>
    <w:rsid w:val="15655F19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2820D5"/>
    <w:rsid w:val="163562A4"/>
    <w:rsid w:val="1641433F"/>
    <w:rsid w:val="1649008E"/>
    <w:rsid w:val="164B2B96"/>
    <w:rsid w:val="164D6264"/>
    <w:rsid w:val="165511E0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7220A"/>
    <w:rsid w:val="16F45A48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C56"/>
    <w:rsid w:val="178A60FC"/>
    <w:rsid w:val="179559A6"/>
    <w:rsid w:val="17957384"/>
    <w:rsid w:val="17A30F12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945C9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3B91"/>
    <w:rsid w:val="19764535"/>
    <w:rsid w:val="19772552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F1298"/>
    <w:rsid w:val="19FF3821"/>
    <w:rsid w:val="1A03072C"/>
    <w:rsid w:val="1A045B87"/>
    <w:rsid w:val="1A06358A"/>
    <w:rsid w:val="1A210157"/>
    <w:rsid w:val="1A227E2A"/>
    <w:rsid w:val="1A365F00"/>
    <w:rsid w:val="1A484A02"/>
    <w:rsid w:val="1A4D1CE1"/>
    <w:rsid w:val="1A5760FC"/>
    <w:rsid w:val="1A5B0C0F"/>
    <w:rsid w:val="1A5F7253"/>
    <w:rsid w:val="1A6A0EEA"/>
    <w:rsid w:val="1A6D22C8"/>
    <w:rsid w:val="1A711E38"/>
    <w:rsid w:val="1A725418"/>
    <w:rsid w:val="1A7A2EF9"/>
    <w:rsid w:val="1A7F4EDC"/>
    <w:rsid w:val="1A813E2C"/>
    <w:rsid w:val="1A8C7019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A5CBC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0D5E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41310"/>
    <w:rsid w:val="1C9A166E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F5B72"/>
    <w:rsid w:val="1D8F6826"/>
    <w:rsid w:val="1D9B17FC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EE14F5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11B39"/>
    <w:rsid w:val="1EC80437"/>
    <w:rsid w:val="1ED15DFD"/>
    <w:rsid w:val="1ED874EC"/>
    <w:rsid w:val="1ED94E25"/>
    <w:rsid w:val="1EDB6C5F"/>
    <w:rsid w:val="1EDF4266"/>
    <w:rsid w:val="1EE04ADD"/>
    <w:rsid w:val="1EE36B24"/>
    <w:rsid w:val="1EE6740D"/>
    <w:rsid w:val="1EEC1621"/>
    <w:rsid w:val="1EED7A29"/>
    <w:rsid w:val="1EFB216C"/>
    <w:rsid w:val="1F0D14F3"/>
    <w:rsid w:val="1F141EF2"/>
    <w:rsid w:val="1F1F0D03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472C9"/>
    <w:rsid w:val="21B50781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853F4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667266"/>
    <w:rsid w:val="246E676E"/>
    <w:rsid w:val="24731A96"/>
    <w:rsid w:val="247A5C3A"/>
    <w:rsid w:val="247C5EE2"/>
    <w:rsid w:val="247C7B9E"/>
    <w:rsid w:val="247E1CE1"/>
    <w:rsid w:val="247F6CC6"/>
    <w:rsid w:val="24837A35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A6416"/>
    <w:rsid w:val="27907336"/>
    <w:rsid w:val="279408D2"/>
    <w:rsid w:val="279A2ED3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FE4240"/>
    <w:rsid w:val="280008FF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2679"/>
    <w:rsid w:val="28BD44AE"/>
    <w:rsid w:val="28C075A4"/>
    <w:rsid w:val="28C77126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8431C2"/>
    <w:rsid w:val="29906483"/>
    <w:rsid w:val="299301FE"/>
    <w:rsid w:val="29981CF5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E37603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A27A6"/>
    <w:rsid w:val="2A8B1FCC"/>
    <w:rsid w:val="2A9242DB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959E0"/>
    <w:rsid w:val="2C11705A"/>
    <w:rsid w:val="2C1216FD"/>
    <w:rsid w:val="2C1F2C4F"/>
    <w:rsid w:val="2C253658"/>
    <w:rsid w:val="2C26373D"/>
    <w:rsid w:val="2C3256C0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805714"/>
    <w:rsid w:val="2F8640C4"/>
    <w:rsid w:val="2F8E5F5C"/>
    <w:rsid w:val="2F921FAC"/>
    <w:rsid w:val="2F93703C"/>
    <w:rsid w:val="2FA21231"/>
    <w:rsid w:val="2FAD4759"/>
    <w:rsid w:val="2FAD5866"/>
    <w:rsid w:val="2FB91323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84385"/>
    <w:rsid w:val="315D7DEC"/>
    <w:rsid w:val="31624ED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352F9"/>
    <w:rsid w:val="32C6418D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E7064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B5E13"/>
    <w:rsid w:val="371E6151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9B751D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A6351"/>
    <w:rsid w:val="37C93B72"/>
    <w:rsid w:val="37D644F2"/>
    <w:rsid w:val="37E22653"/>
    <w:rsid w:val="37E96E96"/>
    <w:rsid w:val="37ED5E3A"/>
    <w:rsid w:val="37EF1B98"/>
    <w:rsid w:val="37F311D3"/>
    <w:rsid w:val="37F43153"/>
    <w:rsid w:val="37F7242F"/>
    <w:rsid w:val="37FD1EC6"/>
    <w:rsid w:val="380579FE"/>
    <w:rsid w:val="380661F9"/>
    <w:rsid w:val="380A2EB4"/>
    <w:rsid w:val="38157509"/>
    <w:rsid w:val="381C2F7D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9022E60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3D09BE"/>
    <w:rsid w:val="3A443D4B"/>
    <w:rsid w:val="3A4B68EC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5FD"/>
    <w:rsid w:val="3AB2580E"/>
    <w:rsid w:val="3AB26A14"/>
    <w:rsid w:val="3AB94248"/>
    <w:rsid w:val="3ABE76C3"/>
    <w:rsid w:val="3ABF42F5"/>
    <w:rsid w:val="3ACE7D16"/>
    <w:rsid w:val="3AD73D23"/>
    <w:rsid w:val="3AEE596A"/>
    <w:rsid w:val="3AF372E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1601B"/>
    <w:rsid w:val="3C64689F"/>
    <w:rsid w:val="3C6E7D4D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B338D6"/>
    <w:rsid w:val="3CB36CF4"/>
    <w:rsid w:val="3CBA575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54B0D"/>
    <w:rsid w:val="3E463CA5"/>
    <w:rsid w:val="3E4B2DC3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361F5"/>
    <w:rsid w:val="3F556D23"/>
    <w:rsid w:val="3F5B09D7"/>
    <w:rsid w:val="3F5D051B"/>
    <w:rsid w:val="3F630E3A"/>
    <w:rsid w:val="3F6B3632"/>
    <w:rsid w:val="3F776E0A"/>
    <w:rsid w:val="3F7F6043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A3A66"/>
    <w:rsid w:val="3FE210C1"/>
    <w:rsid w:val="3FEB1C22"/>
    <w:rsid w:val="3FEE2117"/>
    <w:rsid w:val="3FFA58A6"/>
    <w:rsid w:val="3FFA5C63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72413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47575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F76F69"/>
    <w:rsid w:val="43F90FED"/>
    <w:rsid w:val="43FC0DB2"/>
    <w:rsid w:val="44095B4D"/>
    <w:rsid w:val="440C5D56"/>
    <w:rsid w:val="44153F0C"/>
    <w:rsid w:val="44174583"/>
    <w:rsid w:val="441A5200"/>
    <w:rsid w:val="441B7736"/>
    <w:rsid w:val="4425456D"/>
    <w:rsid w:val="44336EAB"/>
    <w:rsid w:val="44393BD3"/>
    <w:rsid w:val="443E43CB"/>
    <w:rsid w:val="444014DC"/>
    <w:rsid w:val="444109FB"/>
    <w:rsid w:val="44416F50"/>
    <w:rsid w:val="444E22EA"/>
    <w:rsid w:val="444F5CF0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30999"/>
    <w:rsid w:val="44C43057"/>
    <w:rsid w:val="44C87C0F"/>
    <w:rsid w:val="44CB4FB3"/>
    <w:rsid w:val="44D31B1E"/>
    <w:rsid w:val="44DF6F1B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220E5E"/>
    <w:rsid w:val="472B4724"/>
    <w:rsid w:val="47333B1B"/>
    <w:rsid w:val="47351654"/>
    <w:rsid w:val="473D0BD8"/>
    <w:rsid w:val="47457188"/>
    <w:rsid w:val="47644CFB"/>
    <w:rsid w:val="47666951"/>
    <w:rsid w:val="47683159"/>
    <w:rsid w:val="476A7D07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52747F"/>
    <w:rsid w:val="48594C05"/>
    <w:rsid w:val="485B36FA"/>
    <w:rsid w:val="485B41B6"/>
    <w:rsid w:val="485D5413"/>
    <w:rsid w:val="485D58DA"/>
    <w:rsid w:val="4864535D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A27B6"/>
    <w:rsid w:val="495B528B"/>
    <w:rsid w:val="495C3370"/>
    <w:rsid w:val="496409A2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C5F66"/>
    <w:rsid w:val="4BAD4CA2"/>
    <w:rsid w:val="4BB037DE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94464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0989"/>
    <w:rsid w:val="4FD365FC"/>
    <w:rsid w:val="4FD62D61"/>
    <w:rsid w:val="4FDC6418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E1BC5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9032C"/>
    <w:rsid w:val="50ED76FB"/>
    <w:rsid w:val="50F568D9"/>
    <w:rsid w:val="50FD2A0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C1E16"/>
    <w:rsid w:val="515361F4"/>
    <w:rsid w:val="515529BB"/>
    <w:rsid w:val="515A64E3"/>
    <w:rsid w:val="515C30A6"/>
    <w:rsid w:val="516157F7"/>
    <w:rsid w:val="5161698E"/>
    <w:rsid w:val="5163574F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D6F40"/>
    <w:rsid w:val="51BE2EAE"/>
    <w:rsid w:val="51C0716E"/>
    <w:rsid w:val="51C24631"/>
    <w:rsid w:val="51D271FD"/>
    <w:rsid w:val="51D43598"/>
    <w:rsid w:val="51DA51E8"/>
    <w:rsid w:val="51DA5890"/>
    <w:rsid w:val="51E90CD5"/>
    <w:rsid w:val="51EE7B3E"/>
    <w:rsid w:val="51F51BD1"/>
    <w:rsid w:val="51F96848"/>
    <w:rsid w:val="51FB40B5"/>
    <w:rsid w:val="51FC1F40"/>
    <w:rsid w:val="52073487"/>
    <w:rsid w:val="520A7B89"/>
    <w:rsid w:val="520E648E"/>
    <w:rsid w:val="521C5D43"/>
    <w:rsid w:val="521D7ED7"/>
    <w:rsid w:val="521F7FC1"/>
    <w:rsid w:val="5239194F"/>
    <w:rsid w:val="52612620"/>
    <w:rsid w:val="526478E1"/>
    <w:rsid w:val="526A546C"/>
    <w:rsid w:val="527847C1"/>
    <w:rsid w:val="52790FD9"/>
    <w:rsid w:val="52850AB6"/>
    <w:rsid w:val="52887A7D"/>
    <w:rsid w:val="52894DE6"/>
    <w:rsid w:val="528C5E23"/>
    <w:rsid w:val="52965280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08B7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947B3"/>
    <w:rsid w:val="54757648"/>
    <w:rsid w:val="5478695B"/>
    <w:rsid w:val="54860559"/>
    <w:rsid w:val="548810E8"/>
    <w:rsid w:val="54906088"/>
    <w:rsid w:val="54907EF0"/>
    <w:rsid w:val="549438A5"/>
    <w:rsid w:val="549C6534"/>
    <w:rsid w:val="549D5652"/>
    <w:rsid w:val="54A14490"/>
    <w:rsid w:val="54A153FA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9A7344"/>
    <w:rsid w:val="55A578C3"/>
    <w:rsid w:val="55A63100"/>
    <w:rsid w:val="55AB1B1D"/>
    <w:rsid w:val="55B403DD"/>
    <w:rsid w:val="55B511EE"/>
    <w:rsid w:val="55B85433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A3EBA"/>
    <w:rsid w:val="56DE40C5"/>
    <w:rsid w:val="56E33383"/>
    <w:rsid w:val="56E46134"/>
    <w:rsid w:val="56E81DBE"/>
    <w:rsid w:val="56ED5E0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94BFF"/>
    <w:rsid w:val="590C40DA"/>
    <w:rsid w:val="591D7EA3"/>
    <w:rsid w:val="59267EF0"/>
    <w:rsid w:val="59314627"/>
    <w:rsid w:val="59376E4C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6607B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F76C1"/>
    <w:rsid w:val="5A921A04"/>
    <w:rsid w:val="5A9A0A66"/>
    <w:rsid w:val="5AA541CF"/>
    <w:rsid w:val="5AAF48E4"/>
    <w:rsid w:val="5AB714BF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BF4297"/>
    <w:rsid w:val="5CC31B68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558A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CE472A"/>
    <w:rsid w:val="5DD70750"/>
    <w:rsid w:val="5DE44DF4"/>
    <w:rsid w:val="5DED4540"/>
    <w:rsid w:val="5DFD4406"/>
    <w:rsid w:val="5E00720B"/>
    <w:rsid w:val="5E012896"/>
    <w:rsid w:val="5E074911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54A5D"/>
    <w:rsid w:val="5E783202"/>
    <w:rsid w:val="5E7842EE"/>
    <w:rsid w:val="5E7A4974"/>
    <w:rsid w:val="5E803D55"/>
    <w:rsid w:val="5E854DAE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249D1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35DF"/>
    <w:rsid w:val="5FA5501A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5092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024FB"/>
    <w:rsid w:val="60B77B1A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027B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B2B74"/>
    <w:rsid w:val="6210415F"/>
    <w:rsid w:val="62185165"/>
    <w:rsid w:val="621D66D4"/>
    <w:rsid w:val="62220209"/>
    <w:rsid w:val="62294C9F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D0EF1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D00EE"/>
    <w:rsid w:val="643F3FFC"/>
    <w:rsid w:val="644A69BC"/>
    <w:rsid w:val="644C372C"/>
    <w:rsid w:val="645B5DC0"/>
    <w:rsid w:val="645D3A6B"/>
    <w:rsid w:val="6468643C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953491"/>
    <w:rsid w:val="66980BF6"/>
    <w:rsid w:val="66A56CDB"/>
    <w:rsid w:val="66AD65FC"/>
    <w:rsid w:val="66B06ACA"/>
    <w:rsid w:val="66B81454"/>
    <w:rsid w:val="66BE1292"/>
    <w:rsid w:val="66BF76F1"/>
    <w:rsid w:val="66C90B05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3428F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C3A15"/>
    <w:rsid w:val="68ED593C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F3842"/>
    <w:rsid w:val="69731101"/>
    <w:rsid w:val="6974083C"/>
    <w:rsid w:val="697B00EB"/>
    <w:rsid w:val="697D087B"/>
    <w:rsid w:val="697D2094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7B5CBF"/>
    <w:rsid w:val="6C831974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770FC8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CC64D9"/>
    <w:rsid w:val="6DDA4F03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D7B41"/>
    <w:rsid w:val="6E3E181B"/>
    <w:rsid w:val="6E3F1C0F"/>
    <w:rsid w:val="6E484191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5060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E126C"/>
    <w:rsid w:val="6EE939F2"/>
    <w:rsid w:val="6EF104D0"/>
    <w:rsid w:val="6F021829"/>
    <w:rsid w:val="6F08724A"/>
    <w:rsid w:val="6F14289F"/>
    <w:rsid w:val="6F162C84"/>
    <w:rsid w:val="6F28474F"/>
    <w:rsid w:val="6F2937E7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7E4794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70F2B"/>
    <w:rsid w:val="701830B7"/>
    <w:rsid w:val="701E2FAB"/>
    <w:rsid w:val="70206C25"/>
    <w:rsid w:val="702267D2"/>
    <w:rsid w:val="70291A05"/>
    <w:rsid w:val="70370653"/>
    <w:rsid w:val="70385F59"/>
    <w:rsid w:val="70387A8F"/>
    <w:rsid w:val="703E443C"/>
    <w:rsid w:val="70494AF1"/>
    <w:rsid w:val="704A6916"/>
    <w:rsid w:val="704B11CB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C00E9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8F4EAF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502618E"/>
    <w:rsid w:val="750934A8"/>
    <w:rsid w:val="750A15E4"/>
    <w:rsid w:val="750C76FA"/>
    <w:rsid w:val="751C6D8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9F1A50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A652D8"/>
    <w:rsid w:val="76AC087B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D47BD"/>
    <w:rsid w:val="775352E9"/>
    <w:rsid w:val="77551F00"/>
    <w:rsid w:val="77606FF1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4C2B22"/>
    <w:rsid w:val="78591903"/>
    <w:rsid w:val="787659AD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52CB5"/>
    <w:rsid w:val="78C64CC0"/>
    <w:rsid w:val="78C67D14"/>
    <w:rsid w:val="78CD3535"/>
    <w:rsid w:val="78D6474D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3D7CC0"/>
    <w:rsid w:val="7A4006D3"/>
    <w:rsid w:val="7A4D07BA"/>
    <w:rsid w:val="7A537783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02422"/>
    <w:rsid w:val="7AD27B42"/>
    <w:rsid w:val="7AD53EC1"/>
    <w:rsid w:val="7AD84E14"/>
    <w:rsid w:val="7ADB474B"/>
    <w:rsid w:val="7ADB7F1A"/>
    <w:rsid w:val="7AE55787"/>
    <w:rsid w:val="7AE833BC"/>
    <w:rsid w:val="7AF91DAF"/>
    <w:rsid w:val="7AF9607E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255AC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E37D7"/>
    <w:rsid w:val="7C6E7E2C"/>
    <w:rsid w:val="7C734075"/>
    <w:rsid w:val="7C773CA6"/>
    <w:rsid w:val="7C815D2A"/>
    <w:rsid w:val="7C831756"/>
    <w:rsid w:val="7C844AA6"/>
    <w:rsid w:val="7C8C4CAB"/>
    <w:rsid w:val="7C982736"/>
    <w:rsid w:val="7C9A2FA3"/>
    <w:rsid w:val="7C9E5A24"/>
    <w:rsid w:val="7CA3583F"/>
    <w:rsid w:val="7CA61736"/>
    <w:rsid w:val="7CA67728"/>
    <w:rsid w:val="7CB027DF"/>
    <w:rsid w:val="7CB5615D"/>
    <w:rsid w:val="7CB62523"/>
    <w:rsid w:val="7CB65ABC"/>
    <w:rsid w:val="7CCA0DF6"/>
    <w:rsid w:val="7CCA5583"/>
    <w:rsid w:val="7CD72F9B"/>
    <w:rsid w:val="7CDC7644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6A22"/>
    <w:rsid w:val="7E570488"/>
    <w:rsid w:val="7E573082"/>
    <w:rsid w:val="7E593C4C"/>
    <w:rsid w:val="7E696028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6339F7"/>
    <w:rsid w:val="7F694065"/>
    <w:rsid w:val="7F74788A"/>
    <w:rsid w:val="7F8660CD"/>
    <w:rsid w:val="7F8A2E2C"/>
    <w:rsid w:val="7F963419"/>
    <w:rsid w:val="7F98528E"/>
    <w:rsid w:val="7FA069EC"/>
    <w:rsid w:val="7FBB6CE2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7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8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6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2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0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2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1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0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5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99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78"/>
    <w:unhideWhenUsed/>
    <w:qFormat/>
    <w:uiPriority w:val="99"/>
    <w:rPr>
      <w:sz w:val="18"/>
      <w:szCs w:val="18"/>
    </w:rPr>
  </w:style>
  <w:style w:type="paragraph" w:styleId="19">
    <w:name w:val="footer"/>
    <w:basedOn w:val="20"/>
    <w:link w:val="84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5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Emphasis"/>
    <w:qFormat/>
    <w:uiPriority w:val="20"/>
    <w:rPr>
      <w:color w:val="CC0000"/>
    </w:r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unhideWhenUsed/>
    <w:qFormat/>
    <w:uiPriority w:val="99"/>
    <w:rPr>
      <w:sz w:val="16"/>
      <w:szCs w:val="16"/>
    </w:rPr>
  </w:style>
  <w:style w:type="character" w:styleId="32">
    <w:name w:val="HTML Cite"/>
    <w:unhideWhenUsed/>
    <w:qFormat/>
    <w:uiPriority w:val="99"/>
    <w:rPr>
      <w:color w:val="008000"/>
    </w:rPr>
  </w:style>
  <w:style w:type="paragraph" w:customStyle="1" w:styleId="3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4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AH"/>
    <w:basedOn w:val="37"/>
    <w:link w:val="61"/>
    <w:qFormat/>
    <w:uiPriority w:val="99"/>
    <w:rPr>
      <w:b/>
    </w:rPr>
  </w:style>
  <w:style w:type="paragraph" w:customStyle="1" w:styleId="37">
    <w:name w:val="TAC"/>
    <w:basedOn w:val="38"/>
    <w:link w:val="76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8">
    <w:name w:val="TAL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9">
    <w:name w:val="正文1"/>
    <w:basedOn w:val="1"/>
    <w:link w:val="62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0">
    <w:name w:val="char char char"/>
    <w:basedOn w:val="39"/>
    <w:link w:val="79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1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2">
    <w:name w:val="NO"/>
    <w:basedOn w:val="1"/>
    <w:link w:val="6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Table_title"/>
    <w:basedOn w:val="1"/>
    <w:next w:val="3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6">
    <w:name w:val="TH"/>
    <w:basedOn w:val="1"/>
    <w:link w:val="7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8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9">
    <w:name w:val="TAN"/>
    <w:basedOn w:val="38"/>
    <w:link w:val="58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0">
    <w:name w:val="TF"/>
    <w:basedOn w:val="46"/>
    <w:qFormat/>
    <w:uiPriority w:val="0"/>
    <w:pPr>
      <w:keepNext w:val="0"/>
      <w:spacing w:before="0" w:after="240"/>
    </w:pPr>
  </w:style>
  <w:style w:type="paragraph" w:customStyle="1" w:styleId="51">
    <w:name w:val="B1"/>
    <w:basedOn w:val="17"/>
    <w:link w:val="5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har char"/>
    <w:basedOn w:val="39"/>
    <w:link w:val="7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6">
    <w:name w:val="Char"/>
    <w:basedOn w:val="35"/>
    <w:link w:val="73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7">
    <w:name w:val="B1 Char"/>
    <w:link w:val="51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8">
    <w:name w:val="TAN Char"/>
    <w:link w:val="49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9">
    <w:name w:val="默认段落字体1"/>
    <w:qFormat/>
    <w:uiPriority w:val="0"/>
  </w:style>
  <w:style w:type="character" w:customStyle="1" w:styleId="60">
    <w:name w:val="NO Char"/>
    <w:link w:val="42"/>
    <w:qFormat/>
    <w:uiPriority w:val="0"/>
    <w:rPr>
      <w:rFonts w:ascii="Times New Roman" w:hAnsi="Times New Roman" w:eastAsia="Times New Roman"/>
      <w:lang w:val="en-GB"/>
    </w:rPr>
  </w:style>
  <w:style w:type="character" w:customStyle="1" w:styleId="61">
    <w:name w:val="TAH Car"/>
    <w:link w:val="36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2">
    <w:name w:val="正文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3">
    <w:name w:val="keyword"/>
    <w:basedOn w:val="27"/>
    <w:qFormat/>
    <w:uiPriority w:val="0"/>
  </w:style>
  <w:style w:type="character" w:customStyle="1" w:styleId="64">
    <w:name w:val="c-icon"/>
    <w:basedOn w:val="27"/>
    <w:qFormat/>
    <w:uiPriority w:val="0"/>
  </w:style>
  <w:style w:type="character" w:customStyle="1" w:styleId="65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66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7">
    <w:name w:val="c-icon14"/>
    <w:basedOn w:val="27"/>
    <w:qFormat/>
    <w:uiPriority w:val="0"/>
  </w:style>
  <w:style w:type="character" w:customStyle="1" w:styleId="68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op_dict_text2"/>
    <w:basedOn w:val="27"/>
    <w:qFormat/>
    <w:uiPriority w:val="0"/>
  </w:style>
  <w:style w:type="character" w:customStyle="1" w:styleId="70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char char Char"/>
    <w:link w:val="55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2">
    <w:name w:val="Caption Char"/>
    <w:link w:val="12"/>
    <w:qFormat/>
    <w:uiPriority w:val="0"/>
    <w:rPr>
      <w:rFonts w:ascii="Arial" w:hAnsi="Arial" w:eastAsia="黑体"/>
    </w:rPr>
  </w:style>
  <w:style w:type="character" w:customStyle="1" w:styleId="73">
    <w:name w:val="Char Char"/>
    <w:link w:val="56"/>
    <w:qFormat/>
    <w:uiPriority w:val="0"/>
    <w:rPr>
      <w:rFonts w:ascii="Arial" w:hAnsi="Arial"/>
      <w:sz w:val="32"/>
      <w:szCs w:val="36"/>
    </w:rPr>
  </w:style>
  <w:style w:type="character" w:customStyle="1" w:styleId="74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75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6">
    <w:name w:val="TAC Char"/>
    <w:basedOn w:val="27"/>
    <w:link w:val="3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8">
    <w:name w:val="Balloon Text Char"/>
    <w:link w:val="18"/>
    <w:semiHidden/>
    <w:qFormat/>
    <w:uiPriority w:val="99"/>
    <w:rPr>
      <w:kern w:val="2"/>
      <w:sz w:val="18"/>
      <w:szCs w:val="18"/>
    </w:rPr>
  </w:style>
  <w:style w:type="character" w:customStyle="1" w:styleId="79">
    <w:name w:val="char char char Char"/>
    <w:link w:val="40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0">
    <w:name w:val="Header Char"/>
    <w:link w:val="20"/>
    <w:qFormat/>
    <w:uiPriority w:val="99"/>
    <w:rPr>
      <w:sz w:val="18"/>
      <w:szCs w:val="18"/>
    </w:rPr>
  </w:style>
  <w:style w:type="character" w:customStyle="1" w:styleId="81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2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3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4">
    <w:name w:val="Footer Char"/>
    <w:link w:val="19"/>
    <w:qFormat/>
    <w:uiPriority w:val="99"/>
    <w:rPr>
      <w:sz w:val="18"/>
      <w:szCs w:val="18"/>
    </w:rPr>
  </w:style>
  <w:style w:type="character" w:customStyle="1" w:styleId="85">
    <w:name w:val="Comment Subject Char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6">
    <w:name w:val="msoins"/>
    <w:basedOn w:val="27"/>
    <w:qFormat/>
    <w:uiPriority w:val="0"/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1">
    <w:name w:val="op_dict3_lineone_result_tip"/>
    <w:qFormat/>
    <w:uiPriority w:val="0"/>
    <w:rPr>
      <w:color w:val="999999"/>
    </w:rPr>
  </w:style>
  <w:style w:type="character" w:styleId="92">
    <w:name w:val="Placeholder Text"/>
    <w:basedOn w:val="27"/>
    <w:semiHidden/>
    <w:qFormat/>
    <w:uiPriority w:val="99"/>
    <w:rPr>
      <w:color w:val="808080"/>
    </w:rPr>
  </w:style>
  <w:style w:type="paragraph" w:customStyle="1" w:styleId="93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5">
    <w:name w:val="eop"/>
    <w:basedOn w:val="27"/>
    <w:qFormat/>
    <w:uiPriority w:val="0"/>
  </w:style>
  <w:style w:type="paragraph" w:customStyle="1" w:styleId="96">
    <w:name w:val="TAR"/>
    <w:basedOn w:val="38"/>
    <w:qFormat/>
    <w:uiPriority w:val="0"/>
    <w:pPr>
      <w:jc w:val="right"/>
    </w:pPr>
  </w:style>
  <w:style w:type="paragraph" w:customStyle="1" w:styleId="97">
    <w:name w:val="B2"/>
    <w:basedOn w:val="16"/>
    <w:qFormat/>
    <w:uiPriority w:val="0"/>
    <w:pPr>
      <w:ind w:left="851" w:hanging="284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4</TotalTime>
  <ScaleCrop>false</ScaleCrop>
  <LinksUpToDate>false</LinksUpToDate>
  <CharactersWithSpaces>5088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Wei Lin</cp:lastModifiedBy>
  <dcterms:modified xsi:type="dcterms:W3CDTF">2023-09-27T08:34:39Z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B308F81301CC439C87CE264779053BF1</vt:lpwstr>
  </property>
</Properties>
</file>